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A203" w14:textId="4637BA79" w:rsidR="009636B4" w:rsidRDefault="009636B4" w:rsidP="0089448A">
      <w:pPr>
        <w:rPr>
          <w:rFonts w:ascii="Montserrat" w:eastAsiaTheme="minorHAnsi" w:hAnsi="Montserrat" w:cstheme="minorBidi"/>
          <w:sz w:val="20"/>
          <w:szCs w:val="20"/>
        </w:rPr>
      </w:pPr>
    </w:p>
    <w:p w14:paraId="6CC82F1C" w14:textId="436340AD" w:rsidR="00EC50DB" w:rsidRPr="00EC50DB" w:rsidRDefault="00EC50DB" w:rsidP="00EC50DB">
      <w:pPr>
        <w:jc w:val="center"/>
        <w:rPr>
          <w:rFonts w:ascii="Montserrat" w:eastAsiaTheme="minorHAnsi" w:hAnsi="Montserrat" w:cstheme="minorBidi"/>
          <w:b/>
          <w:bCs/>
        </w:rPr>
      </w:pPr>
      <w:r w:rsidRPr="00EC50DB">
        <w:rPr>
          <w:rFonts w:ascii="Montserrat" w:eastAsiaTheme="minorHAnsi" w:hAnsi="Montserrat" w:cstheme="minorBidi"/>
          <w:b/>
          <w:bCs/>
        </w:rPr>
        <w:t>Funciones del Comité de Transparencia</w:t>
      </w:r>
    </w:p>
    <w:p w14:paraId="4419C89B" w14:textId="77777777" w:rsidR="0089448A" w:rsidRDefault="0089448A" w:rsidP="0089448A">
      <w:pPr>
        <w:pStyle w:val="ANOTACION"/>
        <w:spacing w:before="0" w:after="0" w:line="240" w:lineRule="auto"/>
        <w:rPr>
          <w:rFonts w:ascii="Montserrat" w:hAnsi="Montserrat" w:cs="Arial"/>
          <w:bCs/>
          <w:sz w:val="24"/>
          <w:szCs w:val="24"/>
        </w:rPr>
      </w:pPr>
    </w:p>
    <w:p w14:paraId="5C643166" w14:textId="77777777" w:rsidR="00EC50DB" w:rsidRPr="0089448A" w:rsidRDefault="00EC50DB" w:rsidP="00EC50DB">
      <w:pPr>
        <w:pStyle w:val="ANOTACION"/>
        <w:spacing w:before="0" w:after="0" w:line="240" w:lineRule="auto"/>
        <w:rPr>
          <w:rFonts w:ascii="Montserrat" w:hAnsi="Montserrat" w:cs="Arial"/>
          <w:sz w:val="20"/>
        </w:rPr>
      </w:pPr>
      <w:r w:rsidRPr="0089448A">
        <w:rPr>
          <w:rFonts w:ascii="Montserrat" w:hAnsi="Montserrat" w:cs="Arial"/>
          <w:sz w:val="20"/>
        </w:rPr>
        <w:t>LEY GENERAL DE TRANSPARENCIA Y ACCESO A LA INFORMACIÓN PÚBLICA</w:t>
      </w:r>
    </w:p>
    <w:p w14:paraId="0AC7F451" w14:textId="77777777" w:rsidR="00EC50DB" w:rsidRPr="0089448A" w:rsidRDefault="00EC50DB" w:rsidP="00EC50DB">
      <w:pPr>
        <w:rPr>
          <w:rFonts w:ascii="Montserrat" w:eastAsiaTheme="minorHAnsi" w:hAnsi="Montserrat" w:cstheme="minorBidi"/>
          <w:sz w:val="20"/>
          <w:szCs w:val="20"/>
        </w:rPr>
      </w:pPr>
    </w:p>
    <w:p w14:paraId="38083470" w14:textId="77777777" w:rsidR="00EC50DB" w:rsidRPr="0089448A" w:rsidRDefault="00EC50DB" w:rsidP="00EC50DB">
      <w:pPr>
        <w:pStyle w:val="Texto"/>
        <w:spacing w:after="0" w:line="240" w:lineRule="auto"/>
        <w:ind w:firstLine="0"/>
        <w:jc w:val="center"/>
        <w:rPr>
          <w:rFonts w:ascii="Montserrat" w:hAnsi="Montserrat"/>
          <w:b/>
          <w:sz w:val="20"/>
          <w:lang w:val="es-ES_tradnl"/>
        </w:rPr>
      </w:pPr>
    </w:p>
    <w:p w14:paraId="2DD071EC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bookmarkStart w:id="0" w:name="Artículo_43"/>
      <w:r w:rsidRPr="0089448A">
        <w:rPr>
          <w:rFonts w:ascii="Montserrat" w:hAnsi="Montserrat"/>
          <w:b/>
          <w:sz w:val="20"/>
        </w:rPr>
        <w:t>Artículo 43</w:t>
      </w:r>
      <w:bookmarkEnd w:id="0"/>
      <w:r w:rsidRPr="0089448A">
        <w:rPr>
          <w:rFonts w:ascii="Montserrat" w:hAnsi="Montserrat"/>
          <w:b/>
          <w:sz w:val="20"/>
        </w:rPr>
        <w:t xml:space="preserve">. </w:t>
      </w:r>
      <w:r w:rsidRPr="0089448A">
        <w:rPr>
          <w:rFonts w:ascii="Montserrat" w:hAnsi="Montserrat"/>
          <w:sz w:val="20"/>
        </w:rPr>
        <w:t>En cada sujeto obligado se integrará un Comité de Transparencia colegiado e integrado por un número impar.</w:t>
      </w:r>
    </w:p>
    <w:p w14:paraId="30AF3E48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4DF517F0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 xml:space="preserve">El Comité de Transparencia adoptará sus resoluciones por mayoría de votos. En caso de empate, el </w:t>
      </w:r>
      <w:proofErr w:type="gramStart"/>
      <w:r w:rsidRPr="0089448A">
        <w:rPr>
          <w:rFonts w:ascii="Montserrat" w:hAnsi="Montserrat"/>
          <w:sz w:val="20"/>
        </w:rPr>
        <w:t>Presidente</w:t>
      </w:r>
      <w:proofErr w:type="gramEnd"/>
      <w:r w:rsidRPr="0089448A">
        <w:rPr>
          <w:rFonts w:ascii="Montserrat" w:hAnsi="Montserrat"/>
          <w:sz w:val="20"/>
        </w:rPr>
        <w:t xml:space="preserve"> tendrá voto de calidad. A sus sesiones podrán asistir como invitados aquellos que sus integrantes consideren necesarios, quienes tendrán </w:t>
      </w:r>
      <w:proofErr w:type="gramStart"/>
      <w:r w:rsidRPr="0089448A">
        <w:rPr>
          <w:rFonts w:ascii="Montserrat" w:hAnsi="Montserrat"/>
          <w:sz w:val="20"/>
        </w:rPr>
        <w:t>voz</w:t>
      </w:r>
      <w:proofErr w:type="gramEnd"/>
      <w:r w:rsidRPr="0089448A">
        <w:rPr>
          <w:rFonts w:ascii="Montserrat" w:hAnsi="Montserrat"/>
          <w:sz w:val="20"/>
        </w:rPr>
        <w:t xml:space="preserve"> pero no voto.</w:t>
      </w:r>
    </w:p>
    <w:p w14:paraId="4EA42C7A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0B4B1971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Los integrantes del Comité de Transparencia no podrán depender jerárquicamente entre sí, tampoco podrán reunirse dos o más de estos integrantes en una sola persona. Cuando se presente el caso, el titular del sujeto obligado tendrá que nombrar a la persona que supla al subordinado.</w:t>
      </w:r>
    </w:p>
    <w:p w14:paraId="5B1BC4B6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535670F4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Los integrantes del Comité de Transparencia tendrán acceso a la información para determinar su clasificación, conforme a la normatividad previamente establecida por los sujetos obligados para el resguardo o salvaguarda de la información.</w:t>
      </w:r>
    </w:p>
    <w:p w14:paraId="36381DA1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21D56CED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El Centro de Investigación y Seguridad Nacional; el Centro Nacional de Planeación, Análisis e Información para el Combate a la Delincuencia; el Centro Federal de Protección a Personas; la Dirección de Coordinación de Inteligencia de la Comisión Nacional de Seguridad; la Subprocuraduría Especializada en Investigación de Delincuencia Organizada; la Unidad de Inteligencia Financiera; el Estado Mayor Presidencial, el Estado Mayor de la Defensa Nacional, el Estado Mayor General de la Armada, la Autoridad Investigadora de la Comisión Federal de Competencia Económica y la del Instituto Federal de Telecomunicaciones o bien, las unidades administrativas que los sustituyan, no estarán sujetos a la autoridad de los Comités de Transparencia a que se refiere el presente artículo, siendo sus funciones responsabilidad exclusiva del titular de la propia entidad o unidad administrativa.</w:t>
      </w:r>
    </w:p>
    <w:p w14:paraId="13C085DC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5BDC0084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La clasificación, desclasificación y acceso a la información que generen o custodien las instancias de inteligencia e investigación deberá apegarse a los términos previstos en la presente Ley y a los protocolos de seguridad y resguardo establecidos para ello.</w:t>
      </w:r>
    </w:p>
    <w:p w14:paraId="220CBF9E" w14:textId="77777777" w:rsidR="00EC50DB" w:rsidRPr="0089448A" w:rsidRDefault="00EC50DB" w:rsidP="00EC50DB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5E1FC6F2" w14:textId="77777777" w:rsidR="00EC50DB" w:rsidRPr="0089448A" w:rsidRDefault="00EC50DB" w:rsidP="00E67849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bookmarkStart w:id="1" w:name="Artículo_44"/>
      <w:r w:rsidRPr="0089448A">
        <w:rPr>
          <w:rFonts w:ascii="Montserrat" w:hAnsi="Montserrat"/>
          <w:b/>
          <w:sz w:val="20"/>
        </w:rPr>
        <w:t>Artículo 44</w:t>
      </w:r>
      <w:bookmarkEnd w:id="1"/>
      <w:r w:rsidRPr="0089448A">
        <w:rPr>
          <w:rFonts w:ascii="Montserrat" w:hAnsi="Montserrat"/>
          <w:b/>
          <w:sz w:val="20"/>
        </w:rPr>
        <w:t xml:space="preserve">. </w:t>
      </w:r>
      <w:r w:rsidRPr="0089448A">
        <w:rPr>
          <w:rFonts w:ascii="Montserrat" w:hAnsi="Montserrat"/>
          <w:sz w:val="20"/>
        </w:rPr>
        <w:t>Cada Comité de Transparencia tendrá las siguientes funciones:</w:t>
      </w:r>
    </w:p>
    <w:p w14:paraId="042014C0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5DC8AD44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Instituir, coordinar y supervisar, en términos de las disposiciones aplicables, las acciones y los procedimientos para asegurar la mayor eficacia en la gestión de las solicitudes en materia de acceso a la información;</w:t>
      </w:r>
    </w:p>
    <w:p w14:paraId="76ABE749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3BD4D6B4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II.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 xml:space="preserve">Confirmar, modificar o revocar las determinaciones </w:t>
      </w:r>
      <w:proofErr w:type="gramStart"/>
      <w:r w:rsidRPr="0089448A">
        <w:rPr>
          <w:rFonts w:ascii="Montserrat" w:hAnsi="Montserrat"/>
          <w:sz w:val="20"/>
        </w:rPr>
        <w:t>que</w:t>
      </w:r>
      <w:proofErr w:type="gramEnd"/>
      <w:r w:rsidRPr="0089448A">
        <w:rPr>
          <w:rFonts w:ascii="Montserrat" w:hAnsi="Montserrat"/>
          <w:sz w:val="20"/>
        </w:rPr>
        <w:t xml:space="preserve"> en materia de ampliación del plazo de respuesta, clasificación de la información y declaración de inexistencia o de incompetencia realicen los titulares de las Áreas de los sujetos obligados;</w:t>
      </w:r>
    </w:p>
    <w:p w14:paraId="6F3D828B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25C5EF75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III.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Ordenar, en su caso, a las Áreas competentes que generen la información que derivado de sus facultades, competencias y funciones deban tener en posesión o que previa acreditación de la imposibilidad de su generación, exponga, de forma fundada y motivada, las razones por las cuales, en el caso particular, no ejercieron dichas facultades, competencias o funciones;</w:t>
      </w:r>
    </w:p>
    <w:p w14:paraId="358010C7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0D1081C1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IV.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Establecer políticas para facilitar la obtención de información y el ejercicio del derecho de acceso a la información;</w:t>
      </w:r>
    </w:p>
    <w:p w14:paraId="4D4E8C53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596A235E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V.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Promover la capacitación y actualización de los Servidores Públicos o integrantes adscritos a las Unidades de Transparencia;</w:t>
      </w:r>
    </w:p>
    <w:p w14:paraId="57DBB778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231A6D22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VI.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Establecer programas de capacitación en materia de transparencia, acceso a la información, accesibilidad y protección de datos personales, para todos los Servidores Públicos o integrantes del sujeto obligado;</w:t>
      </w:r>
    </w:p>
    <w:p w14:paraId="47D97277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7C091326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VII.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Recabar y enviar al organismo garante, de conformidad con los lineamientos que estos expidan, los datos necesarios para la elaboración del informe anual;</w:t>
      </w:r>
    </w:p>
    <w:p w14:paraId="0330836F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772ED8B7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VIII.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Solicitar y autorizar la ampliación del plazo de reserva de la información a que se refiere el artículo 101 de la presente Ley, y</w:t>
      </w:r>
    </w:p>
    <w:p w14:paraId="5B3CE8CE" w14:textId="77777777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</w:p>
    <w:p w14:paraId="4ABC0F36" w14:textId="7A435970" w:rsidR="00EC50DB" w:rsidRPr="0089448A" w:rsidRDefault="00EC50DB" w:rsidP="00E67849">
      <w:pPr>
        <w:pStyle w:val="Texto"/>
        <w:spacing w:after="0" w:line="240" w:lineRule="auto"/>
        <w:ind w:left="284" w:firstLine="4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sz w:val="20"/>
        </w:rPr>
        <w:t>IX.</w:t>
      </w:r>
      <w:r w:rsidRPr="0089448A">
        <w:rPr>
          <w:rFonts w:ascii="Montserrat" w:hAnsi="Montserrat"/>
          <w:b/>
          <w:sz w:val="20"/>
        </w:rPr>
        <w:tab/>
      </w:r>
      <w:r w:rsidRPr="0089448A">
        <w:rPr>
          <w:rFonts w:ascii="Montserrat" w:hAnsi="Montserrat"/>
          <w:sz w:val="20"/>
        </w:rPr>
        <w:t>Las demás que se desprendan de la normatividad aplicable</w:t>
      </w:r>
      <w:r w:rsidR="00907926">
        <w:rPr>
          <w:rFonts w:ascii="Montserrat" w:hAnsi="Montserrat"/>
          <w:sz w:val="20"/>
        </w:rPr>
        <w:t>.</w:t>
      </w:r>
    </w:p>
    <w:p w14:paraId="4AB75564" w14:textId="77777777" w:rsidR="00EC50DB" w:rsidRDefault="00EC50DB" w:rsidP="00EC50DB">
      <w:pPr>
        <w:pStyle w:val="ANOTACION"/>
        <w:spacing w:before="0" w:after="0" w:line="240" w:lineRule="auto"/>
        <w:rPr>
          <w:rFonts w:ascii="Montserrat" w:hAnsi="Montserrat" w:cs="Arial"/>
          <w:bCs/>
          <w:sz w:val="24"/>
          <w:szCs w:val="24"/>
        </w:rPr>
      </w:pPr>
    </w:p>
    <w:p w14:paraId="19462DDB" w14:textId="7A37A74A" w:rsidR="002A5F6D" w:rsidRDefault="002A5F6D" w:rsidP="00907926">
      <w:pPr>
        <w:pStyle w:val="ANOTACION"/>
        <w:spacing w:before="0" w:after="0" w:line="240" w:lineRule="auto"/>
        <w:rPr>
          <w:rFonts w:ascii="Montserrat" w:hAnsi="Montserrat" w:cs="Arial"/>
          <w:sz w:val="20"/>
        </w:rPr>
      </w:pPr>
      <w:r w:rsidRPr="0089448A">
        <w:rPr>
          <w:rFonts w:ascii="Montserrat" w:hAnsi="Montserrat" w:cs="Arial"/>
          <w:sz w:val="20"/>
        </w:rPr>
        <w:t>LEY FEDERAL DE TRANSPARENCIA Y ACCESO A LA INFORMACIÓN PÚBLICA</w:t>
      </w:r>
    </w:p>
    <w:p w14:paraId="081D800D" w14:textId="77777777" w:rsidR="008C6224" w:rsidRPr="0089448A" w:rsidRDefault="008C6224" w:rsidP="00907926">
      <w:pPr>
        <w:pStyle w:val="ANOTACION"/>
        <w:spacing w:before="0" w:after="0" w:line="240" w:lineRule="auto"/>
        <w:rPr>
          <w:rFonts w:ascii="Montserrat" w:hAnsi="Montserrat" w:cs="Arial"/>
          <w:sz w:val="20"/>
        </w:rPr>
      </w:pPr>
    </w:p>
    <w:p w14:paraId="3B768776" w14:textId="77777777" w:rsidR="009636B4" w:rsidRPr="0089448A" w:rsidRDefault="009636B4" w:rsidP="00907926">
      <w:pPr>
        <w:pStyle w:val="Texto"/>
        <w:spacing w:after="0" w:line="240" w:lineRule="auto"/>
        <w:ind w:firstLine="0"/>
        <w:jc w:val="center"/>
        <w:rPr>
          <w:rFonts w:ascii="Montserrat" w:hAnsi="Montserrat"/>
          <w:b/>
          <w:sz w:val="20"/>
        </w:rPr>
      </w:pPr>
    </w:p>
    <w:p w14:paraId="4239155A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color w:val="000000"/>
          <w:sz w:val="20"/>
        </w:rPr>
      </w:pPr>
      <w:bookmarkStart w:id="2" w:name="Artículo_64"/>
      <w:r w:rsidRPr="0089448A">
        <w:rPr>
          <w:rFonts w:ascii="Montserrat" w:hAnsi="Montserrat"/>
          <w:b/>
          <w:sz w:val="20"/>
        </w:rPr>
        <w:t>Artículo</w:t>
      </w:r>
      <w:r w:rsidRPr="0089448A">
        <w:rPr>
          <w:rFonts w:ascii="Montserrat" w:hAnsi="Montserrat"/>
          <w:sz w:val="20"/>
        </w:rPr>
        <w:t xml:space="preserve"> </w:t>
      </w:r>
      <w:r w:rsidRPr="0089448A">
        <w:rPr>
          <w:rFonts w:ascii="Montserrat" w:hAnsi="Montserrat"/>
          <w:b/>
          <w:sz w:val="20"/>
        </w:rPr>
        <w:t>64</w:t>
      </w:r>
      <w:bookmarkEnd w:id="2"/>
      <w:r w:rsidRPr="0089448A">
        <w:rPr>
          <w:rFonts w:ascii="Montserrat" w:hAnsi="Montserrat"/>
          <w:b/>
          <w:sz w:val="20"/>
        </w:rPr>
        <w:t xml:space="preserve">. </w:t>
      </w:r>
      <w:r w:rsidRPr="0089448A">
        <w:rPr>
          <w:rFonts w:ascii="Montserrat" w:hAnsi="Montserrat"/>
          <w:color w:val="000000"/>
          <w:sz w:val="20"/>
        </w:rPr>
        <w:t>En cada sujeto obligado se integrará un Comité de Transparencia colegiado e integrado por un número impar, designado por el titular u órgano colegiado supremo, según se trate.</w:t>
      </w:r>
    </w:p>
    <w:p w14:paraId="22F4EFAC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299B4D7C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 xml:space="preserve">El Comité de Transparencia adoptará sus resoluciones por mayoría de votos. En caso de empate, el </w:t>
      </w:r>
      <w:proofErr w:type="gramStart"/>
      <w:r w:rsidRPr="0089448A">
        <w:rPr>
          <w:rFonts w:ascii="Montserrat" w:hAnsi="Montserrat"/>
          <w:sz w:val="20"/>
        </w:rPr>
        <w:t>Presidente</w:t>
      </w:r>
      <w:proofErr w:type="gramEnd"/>
      <w:r w:rsidRPr="0089448A">
        <w:rPr>
          <w:rFonts w:ascii="Montserrat" w:hAnsi="Montserrat"/>
          <w:sz w:val="20"/>
        </w:rPr>
        <w:t xml:space="preserve"> tendrá voto de calidad. A sus sesiones podrán asistir como invitados aquellos que sus integrantes consideren necesarios, quienes tendrán </w:t>
      </w:r>
      <w:proofErr w:type="gramStart"/>
      <w:r w:rsidRPr="0089448A">
        <w:rPr>
          <w:rFonts w:ascii="Montserrat" w:hAnsi="Montserrat"/>
          <w:sz w:val="20"/>
        </w:rPr>
        <w:t>voz</w:t>
      </w:r>
      <w:proofErr w:type="gramEnd"/>
      <w:r w:rsidRPr="0089448A">
        <w:rPr>
          <w:rFonts w:ascii="Montserrat" w:hAnsi="Montserrat"/>
          <w:sz w:val="20"/>
        </w:rPr>
        <w:t xml:space="preserve"> pero no voto.</w:t>
      </w:r>
    </w:p>
    <w:p w14:paraId="45F86A22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660C7D41" w14:textId="77777777" w:rsidR="0089448A" w:rsidRPr="0089448A" w:rsidRDefault="0089448A" w:rsidP="00907926">
      <w:pPr>
        <w:pStyle w:val="Texto"/>
        <w:spacing w:after="0" w:line="240" w:lineRule="auto"/>
        <w:ind w:right="191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Los integrantes del Comité de Transparencia no podrán depender jerárquicamente entre sí, tampoco podrán reunirse dos o más de estos integrantes en una sola persona. Cuando se presente el caso, el titular del sujeto obligado tendrá que nombrar a la persona que supla al subordinado. Los miembros propietarios de los Comités de Transparencia contarán con los suplentes designados de conformidad con la normatividad interna de los respectivos sujetos obligados, y deberán corresponder a personas que ocupen cargos de la jerarquía inmediata inferior a la de dichos propietarios.</w:t>
      </w:r>
    </w:p>
    <w:p w14:paraId="082E1DD4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6C3B011D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color w:val="000000"/>
          <w:sz w:val="20"/>
        </w:rPr>
        <w:t>En el caso de la Administración Pública Federal, los Comités de las dependencias y entidades se integrarán de la siguiente forma:</w:t>
      </w:r>
    </w:p>
    <w:p w14:paraId="2EA6B118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color w:val="000000"/>
          <w:sz w:val="20"/>
        </w:rPr>
      </w:pPr>
    </w:p>
    <w:p w14:paraId="4BE4AD6D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color w:val="000000"/>
          <w:sz w:val="20"/>
        </w:rPr>
        <w:t>El responsable del área coordinadora de archivos o equivalente;</w:t>
      </w:r>
    </w:p>
    <w:p w14:paraId="1EDE01EC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b/>
          <w:color w:val="000000"/>
          <w:sz w:val="20"/>
        </w:rPr>
      </w:pPr>
    </w:p>
    <w:p w14:paraId="45FC6D9C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color w:val="000000"/>
          <w:sz w:val="20"/>
        </w:rPr>
        <w:t>El titular de la Unidad de Transparencia, y</w:t>
      </w:r>
    </w:p>
    <w:p w14:paraId="0005E054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sz w:val="20"/>
        </w:rPr>
      </w:pPr>
    </w:p>
    <w:p w14:paraId="7C7BA425" w14:textId="77777777" w:rsidR="0089448A" w:rsidRPr="0089448A" w:rsidRDefault="0089448A" w:rsidP="0077484D">
      <w:pPr>
        <w:pStyle w:val="Texto"/>
        <w:spacing w:after="0" w:line="240" w:lineRule="auto"/>
        <w:ind w:left="142" w:firstLine="146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color w:val="000000"/>
          <w:sz w:val="20"/>
        </w:rPr>
        <w:t>El titular del Órgano Interno de Control de cada dependencia o entidad.</w:t>
      </w:r>
    </w:p>
    <w:p w14:paraId="2E551109" w14:textId="77777777" w:rsidR="0089448A" w:rsidRPr="0089448A" w:rsidRDefault="0089448A" w:rsidP="00907926">
      <w:pPr>
        <w:pStyle w:val="Texto"/>
        <w:spacing w:after="0" w:line="240" w:lineRule="auto"/>
        <w:ind w:hanging="576"/>
        <w:rPr>
          <w:rFonts w:ascii="Montserrat" w:hAnsi="Montserrat"/>
          <w:sz w:val="20"/>
        </w:rPr>
      </w:pPr>
    </w:p>
    <w:p w14:paraId="107B55C6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Los integrantes del Comité de Transparencia tendrán acceso a la información para determinar su clasificación, conforme a la normatividad previamente establecida por los sujetos obligados para el resguardo o salvaguarda de la información.</w:t>
      </w:r>
    </w:p>
    <w:p w14:paraId="669635B0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2B9699F3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color w:val="000000"/>
          <w:sz w:val="20"/>
        </w:rPr>
        <w:t>El Centro de Investigación y Seguridad Nacional; el Centro Nacional de Planeación, Análisis e Información para el Combate a la Delincuencia; el Centro Federal de Protección a Personas; las Divisiones de Inteligencia e Investigación de la Policía Federal; la Subprocuraduría Especializada en Investigación de Delincuencia Organizada; la Unidad de Inteligencia Financiera; el Estado Mayor Presidencial, el Estado Mayor de la Defensa Nacional, el Estado Mayor General de la Armada, la Autoridad Investigadora de la Comisión Federal de Competencia Económica y la del Instituto Federal de Telecomunicaciones o bien, las unidades administrativas que los sustituyan, no estarán sujetos a la autoridad de los Comités de Transparencia a que se refiere el presente artículo, siendo sus funciones responsabilidad exclusiva del titular de la propia entidad o unidad administrativa.</w:t>
      </w:r>
    </w:p>
    <w:p w14:paraId="4B9CC02A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color w:val="000000"/>
          <w:sz w:val="20"/>
        </w:rPr>
      </w:pPr>
    </w:p>
    <w:p w14:paraId="5784F0A2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sz w:val="20"/>
        </w:rPr>
        <w:t>La clasificación, desclasificación y acceso a la información que generen o custodien las instancias de inteligencia e investigación deberá apegarse a los términos previstos en la Ley General, esta Ley y a los protocolos de seguridad y resguardo establecidos para ello.</w:t>
      </w:r>
    </w:p>
    <w:p w14:paraId="22106DD7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6B5295AA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bookmarkStart w:id="3" w:name="Artículo_65"/>
      <w:r w:rsidRPr="0089448A">
        <w:rPr>
          <w:rFonts w:ascii="Montserrat" w:hAnsi="Montserrat"/>
          <w:b/>
          <w:sz w:val="20"/>
        </w:rPr>
        <w:t>Artículo</w:t>
      </w:r>
      <w:r w:rsidRPr="0089448A">
        <w:rPr>
          <w:rFonts w:ascii="Montserrat" w:hAnsi="Montserrat"/>
          <w:sz w:val="20"/>
        </w:rPr>
        <w:t xml:space="preserve"> </w:t>
      </w:r>
      <w:r w:rsidRPr="0089448A">
        <w:rPr>
          <w:rFonts w:ascii="Montserrat" w:hAnsi="Montserrat"/>
          <w:b/>
          <w:sz w:val="20"/>
        </w:rPr>
        <w:t>65</w:t>
      </w:r>
      <w:bookmarkEnd w:id="3"/>
      <w:r w:rsidRPr="0089448A">
        <w:rPr>
          <w:rFonts w:ascii="Montserrat" w:hAnsi="Montserrat"/>
          <w:b/>
          <w:sz w:val="20"/>
        </w:rPr>
        <w:t xml:space="preserve">. </w:t>
      </w:r>
      <w:r w:rsidRPr="0089448A">
        <w:rPr>
          <w:rFonts w:ascii="Montserrat" w:hAnsi="Montserrat"/>
          <w:sz w:val="20"/>
        </w:rPr>
        <w:t>Los Comités de Transparencia tendrán las facultades y atribuciones siguientes:</w:t>
      </w:r>
    </w:p>
    <w:p w14:paraId="5A447C50" w14:textId="77777777" w:rsidR="0089448A" w:rsidRPr="0089448A" w:rsidRDefault="0089448A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1061F616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Instituir, coordinar y supervisar, en términos de las disposiciones aplicables, las acciones y los procedimientos para asegurar la mayor eficacia en la gestión de las solicitudes en materia de acceso a la información;</w:t>
      </w:r>
    </w:p>
    <w:p w14:paraId="192A687C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b/>
          <w:color w:val="000000"/>
          <w:sz w:val="20"/>
        </w:rPr>
      </w:pPr>
    </w:p>
    <w:p w14:paraId="0AF72342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 xml:space="preserve">Confirmar, modificar o revocar las determinaciones </w:t>
      </w:r>
      <w:proofErr w:type="gramStart"/>
      <w:r w:rsidRPr="0089448A">
        <w:rPr>
          <w:rFonts w:ascii="Montserrat" w:hAnsi="Montserrat"/>
          <w:sz w:val="20"/>
        </w:rPr>
        <w:t>que</w:t>
      </w:r>
      <w:proofErr w:type="gramEnd"/>
      <w:r w:rsidRPr="0089448A">
        <w:rPr>
          <w:rFonts w:ascii="Montserrat" w:hAnsi="Montserrat"/>
          <w:sz w:val="20"/>
        </w:rPr>
        <w:t xml:space="preserve"> en materia de ampliación del plazo de respuesta, clasificación de la información y declaración de inexistencia o de incompetencia realicen los titulares de las Áreas de los sujetos obligados;</w:t>
      </w:r>
    </w:p>
    <w:p w14:paraId="46105605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7BC0DCBF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Ordenar, en su caso, a las Áreas competentes que generen la información que derivado de sus facultades, competencias y funciones deban tener en posesión o que previa acreditación de la imposibilidad de su generación, exponga, de forma fundada y motivada, las razones por las cuales, en el caso particular, no ejercieron dichas facultades, competencias o funciones;</w:t>
      </w:r>
    </w:p>
    <w:p w14:paraId="30E190E9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5881087E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IV.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Establecer políticas para facilitar la obtención de información y el ejercicio del derecho de acceso a la información;</w:t>
      </w:r>
    </w:p>
    <w:p w14:paraId="692FBF69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67CEFFBA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V.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Promover la capacitación y actualización de los Servidores Públicos adscritos a la Unidad de Transparencia;</w:t>
      </w:r>
    </w:p>
    <w:p w14:paraId="0B356195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19ED50E5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color w:val="000000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VI.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color w:val="000000"/>
          <w:sz w:val="20"/>
        </w:rPr>
        <w:t>A través de las Unidades de Transparencia, establecer programas de capacitación en materia de transparencia, acceso a la información, accesibilidad y protección de datos personales, para todos los Servidores Públicos o integrantes del sujeto obligado;</w:t>
      </w:r>
    </w:p>
    <w:p w14:paraId="40452AC5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3886AFA5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VII.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Recabar y enviar al Instituto, de conformidad con los lineamientos que expida, los datos necesarios para la elaboración del informe anual;</w:t>
      </w:r>
    </w:p>
    <w:p w14:paraId="220D0BE2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698DA6C1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VIII.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Autorizar la ampliación del plazo de reserva de la información, a que se refiere el artículo 99 de esta Ley, y</w:t>
      </w:r>
    </w:p>
    <w:p w14:paraId="7A432927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</w:p>
    <w:p w14:paraId="7D8EC4B6" w14:textId="77777777" w:rsidR="0089448A" w:rsidRPr="0089448A" w:rsidRDefault="0089448A" w:rsidP="0077484D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r w:rsidRPr="0089448A">
        <w:rPr>
          <w:rFonts w:ascii="Montserrat" w:hAnsi="Montserrat"/>
          <w:b/>
          <w:color w:val="000000"/>
          <w:sz w:val="20"/>
        </w:rPr>
        <w:t>IX.</w:t>
      </w:r>
      <w:r w:rsidRPr="0089448A">
        <w:rPr>
          <w:rFonts w:ascii="Montserrat" w:hAnsi="Montserrat"/>
          <w:b/>
          <w:color w:val="000000"/>
          <w:sz w:val="20"/>
        </w:rPr>
        <w:tab/>
      </w:r>
      <w:r w:rsidRPr="0089448A">
        <w:rPr>
          <w:rFonts w:ascii="Montserrat" w:hAnsi="Montserrat"/>
          <w:sz w:val="20"/>
        </w:rPr>
        <w:t>Las demás que les confieran la presente Ley, la Ley General y las demás disposiciones aplicables.</w:t>
      </w:r>
    </w:p>
    <w:p w14:paraId="35A216D7" w14:textId="26530F0C" w:rsidR="002A5F6D" w:rsidRPr="0089448A" w:rsidRDefault="002A5F6D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5B750A23" w14:textId="3412C532" w:rsidR="002A5F6D" w:rsidRPr="0089448A" w:rsidRDefault="002A5F6D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4F23D8E5" w14:textId="77777777" w:rsidR="002A5F6D" w:rsidRPr="0089448A" w:rsidRDefault="002A5F6D" w:rsidP="00907926">
      <w:pPr>
        <w:pStyle w:val="Texto"/>
        <w:spacing w:after="0" w:line="240" w:lineRule="auto"/>
        <w:rPr>
          <w:rFonts w:ascii="Montserrat" w:hAnsi="Montserrat"/>
          <w:sz w:val="20"/>
        </w:rPr>
      </w:pPr>
    </w:p>
    <w:p w14:paraId="2D5D6E58" w14:textId="5B582BD2" w:rsidR="009636B4" w:rsidRPr="0089448A" w:rsidRDefault="009636B4" w:rsidP="00907926">
      <w:pPr>
        <w:rPr>
          <w:rFonts w:ascii="Montserrat" w:eastAsiaTheme="minorHAnsi" w:hAnsi="Montserrat" w:cstheme="minorBidi"/>
          <w:sz w:val="20"/>
          <w:szCs w:val="20"/>
        </w:rPr>
      </w:pPr>
    </w:p>
    <w:sectPr w:rsidR="009636B4" w:rsidRPr="0089448A" w:rsidSect="008C622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83" w:bottom="1560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FFDD" w14:textId="77777777" w:rsidR="00073947" w:rsidRDefault="00073947" w:rsidP="009D2B83">
      <w:r>
        <w:separator/>
      </w:r>
    </w:p>
  </w:endnote>
  <w:endnote w:type="continuationSeparator" w:id="0">
    <w:p w14:paraId="2B8336F6" w14:textId="77777777" w:rsidR="00073947" w:rsidRDefault="00073947" w:rsidP="009D2B83">
      <w:r>
        <w:continuationSeparator/>
      </w:r>
    </w:p>
  </w:endnote>
  <w:endnote w:type="continuationNotice" w:id="1">
    <w:p w14:paraId="2BF5F4AF" w14:textId="77777777" w:rsidR="00073947" w:rsidRDefault="00073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68EA" w14:textId="77777777" w:rsidR="00073947" w:rsidRDefault="00073947" w:rsidP="009D2B83">
      <w:r>
        <w:separator/>
      </w:r>
    </w:p>
  </w:footnote>
  <w:footnote w:type="continuationSeparator" w:id="0">
    <w:p w14:paraId="04BC778B" w14:textId="77777777" w:rsidR="00073947" w:rsidRDefault="00073947" w:rsidP="009D2B83">
      <w:r>
        <w:continuationSeparator/>
      </w:r>
    </w:p>
  </w:footnote>
  <w:footnote w:type="continuationNotice" w:id="1">
    <w:p w14:paraId="16DF6961" w14:textId="77777777" w:rsidR="00073947" w:rsidRDefault="000739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8C6224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8C6224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8C6224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928977">
    <w:abstractNumId w:val="1"/>
  </w:num>
  <w:num w:numId="2" w16cid:durableId="1443725139">
    <w:abstractNumId w:val="8"/>
  </w:num>
  <w:num w:numId="3" w16cid:durableId="541792411">
    <w:abstractNumId w:val="9"/>
  </w:num>
  <w:num w:numId="4" w16cid:durableId="290719363">
    <w:abstractNumId w:val="7"/>
  </w:num>
  <w:num w:numId="5" w16cid:durableId="1937863108">
    <w:abstractNumId w:val="15"/>
  </w:num>
  <w:num w:numId="6" w16cid:durableId="1332876865">
    <w:abstractNumId w:val="6"/>
  </w:num>
  <w:num w:numId="7" w16cid:durableId="2070615439">
    <w:abstractNumId w:val="13"/>
  </w:num>
  <w:num w:numId="8" w16cid:durableId="336419272">
    <w:abstractNumId w:val="2"/>
  </w:num>
  <w:num w:numId="9" w16cid:durableId="995454968">
    <w:abstractNumId w:val="0"/>
  </w:num>
  <w:num w:numId="10" w16cid:durableId="1285773234">
    <w:abstractNumId w:val="11"/>
  </w:num>
  <w:num w:numId="11" w16cid:durableId="1540892796">
    <w:abstractNumId w:val="5"/>
  </w:num>
  <w:num w:numId="12" w16cid:durableId="1894583035">
    <w:abstractNumId w:val="17"/>
  </w:num>
  <w:num w:numId="13" w16cid:durableId="979771955">
    <w:abstractNumId w:val="4"/>
  </w:num>
  <w:num w:numId="14" w16cid:durableId="1700164497">
    <w:abstractNumId w:val="3"/>
  </w:num>
  <w:num w:numId="15" w16cid:durableId="39549950">
    <w:abstractNumId w:val="10"/>
  </w:num>
  <w:num w:numId="16" w16cid:durableId="1932732784">
    <w:abstractNumId w:val="16"/>
  </w:num>
  <w:num w:numId="17" w16cid:durableId="1228027280">
    <w:abstractNumId w:val="12"/>
  </w:num>
  <w:num w:numId="18" w16cid:durableId="13208892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66BD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77B5"/>
    <w:rsid w:val="000D1BAF"/>
    <w:rsid w:val="000D25CF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764D9"/>
    <w:rsid w:val="001815CC"/>
    <w:rsid w:val="00195011"/>
    <w:rsid w:val="001959D0"/>
    <w:rsid w:val="001A0905"/>
    <w:rsid w:val="001A3EE5"/>
    <w:rsid w:val="001B788E"/>
    <w:rsid w:val="001D18C0"/>
    <w:rsid w:val="001D1EDB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A5F6D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30179A"/>
    <w:rsid w:val="00302453"/>
    <w:rsid w:val="00304564"/>
    <w:rsid w:val="00312623"/>
    <w:rsid w:val="003276AC"/>
    <w:rsid w:val="00337B7D"/>
    <w:rsid w:val="003530F8"/>
    <w:rsid w:val="0035643F"/>
    <w:rsid w:val="00356522"/>
    <w:rsid w:val="003614B0"/>
    <w:rsid w:val="00362393"/>
    <w:rsid w:val="00371C8B"/>
    <w:rsid w:val="00373564"/>
    <w:rsid w:val="0037525C"/>
    <w:rsid w:val="00381BC1"/>
    <w:rsid w:val="003908CE"/>
    <w:rsid w:val="00391881"/>
    <w:rsid w:val="00391FAA"/>
    <w:rsid w:val="003942F1"/>
    <w:rsid w:val="00396B31"/>
    <w:rsid w:val="00396D8C"/>
    <w:rsid w:val="003A138B"/>
    <w:rsid w:val="003A2105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2E6C"/>
    <w:rsid w:val="004B05F5"/>
    <w:rsid w:val="004B1624"/>
    <w:rsid w:val="004B69F4"/>
    <w:rsid w:val="004C1FAD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5010F1"/>
    <w:rsid w:val="00504595"/>
    <w:rsid w:val="00512AF5"/>
    <w:rsid w:val="00524084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B0106"/>
    <w:rsid w:val="006B45AB"/>
    <w:rsid w:val="006B56CA"/>
    <w:rsid w:val="006B6E3A"/>
    <w:rsid w:val="006C4884"/>
    <w:rsid w:val="006C4C56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889"/>
    <w:rsid w:val="0077484D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3778"/>
    <w:rsid w:val="007E592A"/>
    <w:rsid w:val="007E650C"/>
    <w:rsid w:val="007E6EAE"/>
    <w:rsid w:val="007F526B"/>
    <w:rsid w:val="007F531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3586"/>
    <w:rsid w:val="008535A4"/>
    <w:rsid w:val="008830EC"/>
    <w:rsid w:val="0089448A"/>
    <w:rsid w:val="008B1238"/>
    <w:rsid w:val="008B3A1F"/>
    <w:rsid w:val="008B40BE"/>
    <w:rsid w:val="008C6224"/>
    <w:rsid w:val="008C6758"/>
    <w:rsid w:val="008D1BF0"/>
    <w:rsid w:val="008D5977"/>
    <w:rsid w:val="008F1FDD"/>
    <w:rsid w:val="00907926"/>
    <w:rsid w:val="009142C8"/>
    <w:rsid w:val="00916B55"/>
    <w:rsid w:val="00920D98"/>
    <w:rsid w:val="00923F51"/>
    <w:rsid w:val="00926160"/>
    <w:rsid w:val="00930DF0"/>
    <w:rsid w:val="009401A9"/>
    <w:rsid w:val="0094289C"/>
    <w:rsid w:val="00961893"/>
    <w:rsid w:val="009636B4"/>
    <w:rsid w:val="00970189"/>
    <w:rsid w:val="009712F3"/>
    <w:rsid w:val="009716D1"/>
    <w:rsid w:val="009738CD"/>
    <w:rsid w:val="009870D9"/>
    <w:rsid w:val="009904F5"/>
    <w:rsid w:val="009B3A44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5A62"/>
    <w:rsid w:val="00A95BD9"/>
    <w:rsid w:val="00AA2E80"/>
    <w:rsid w:val="00AB719E"/>
    <w:rsid w:val="00AD3601"/>
    <w:rsid w:val="00B12FD2"/>
    <w:rsid w:val="00B137F3"/>
    <w:rsid w:val="00B15E86"/>
    <w:rsid w:val="00B24877"/>
    <w:rsid w:val="00B279C6"/>
    <w:rsid w:val="00B302DC"/>
    <w:rsid w:val="00B310A6"/>
    <w:rsid w:val="00B52142"/>
    <w:rsid w:val="00B730B9"/>
    <w:rsid w:val="00B73471"/>
    <w:rsid w:val="00B737B4"/>
    <w:rsid w:val="00B83E03"/>
    <w:rsid w:val="00B85EC5"/>
    <w:rsid w:val="00B87755"/>
    <w:rsid w:val="00B903B3"/>
    <w:rsid w:val="00B9519F"/>
    <w:rsid w:val="00BA1B6B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C00445"/>
    <w:rsid w:val="00C01897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57A12"/>
    <w:rsid w:val="00C60210"/>
    <w:rsid w:val="00C7421D"/>
    <w:rsid w:val="00C744C2"/>
    <w:rsid w:val="00C91546"/>
    <w:rsid w:val="00C96EFB"/>
    <w:rsid w:val="00CB1AF4"/>
    <w:rsid w:val="00CB7D02"/>
    <w:rsid w:val="00CD4881"/>
    <w:rsid w:val="00CD754D"/>
    <w:rsid w:val="00CE6CB9"/>
    <w:rsid w:val="00CF03DC"/>
    <w:rsid w:val="00CF41AD"/>
    <w:rsid w:val="00CF52D5"/>
    <w:rsid w:val="00CF79C6"/>
    <w:rsid w:val="00CF7FA3"/>
    <w:rsid w:val="00D100A2"/>
    <w:rsid w:val="00D10D14"/>
    <w:rsid w:val="00D2077B"/>
    <w:rsid w:val="00D21853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7BF3"/>
    <w:rsid w:val="00D81309"/>
    <w:rsid w:val="00D973F0"/>
    <w:rsid w:val="00DC0337"/>
    <w:rsid w:val="00DC2CD4"/>
    <w:rsid w:val="00DD0903"/>
    <w:rsid w:val="00DD1027"/>
    <w:rsid w:val="00DD5976"/>
    <w:rsid w:val="00DE4C7F"/>
    <w:rsid w:val="00DF4227"/>
    <w:rsid w:val="00DF75EB"/>
    <w:rsid w:val="00E024F6"/>
    <w:rsid w:val="00E035B1"/>
    <w:rsid w:val="00E164F9"/>
    <w:rsid w:val="00E211D3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4072"/>
    <w:rsid w:val="00E67849"/>
    <w:rsid w:val="00E67E8F"/>
    <w:rsid w:val="00E70B6D"/>
    <w:rsid w:val="00E71451"/>
    <w:rsid w:val="00E74A0F"/>
    <w:rsid w:val="00E82273"/>
    <w:rsid w:val="00E84A4C"/>
    <w:rsid w:val="00EA11F2"/>
    <w:rsid w:val="00EA2992"/>
    <w:rsid w:val="00EC0CDD"/>
    <w:rsid w:val="00EC3F3A"/>
    <w:rsid w:val="00EC50DB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44A7F"/>
    <w:rsid w:val="00F6272B"/>
    <w:rsid w:val="00F64C18"/>
    <w:rsid w:val="00F66719"/>
    <w:rsid w:val="00F8175B"/>
    <w:rsid w:val="00F8782C"/>
    <w:rsid w:val="00F93492"/>
    <w:rsid w:val="00F941E9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customStyle="1" w:styleId="Texto">
    <w:name w:val="Texto"/>
    <w:basedOn w:val="Normal"/>
    <w:link w:val="TextoCar"/>
    <w:rsid w:val="009636B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9636B4"/>
    <w:rPr>
      <w:rFonts w:ascii="Arial" w:eastAsia="Times New Roman" w:hAnsi="Arial" w:cs="Arial"/>
      <w:sz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9636B4"/>
    <w:pPr>
      <w:spacing w:before="101" w:after="101" w:line="216" w:lineRule="atLeast"/>
      <w:jc w:val="center"/>
    </w:pPr>
    <w:rPr>
      <w:rFonts w:ascii="Times New Roman" w:eastAsia="Times New Roman" w:hAnsi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9636B4"/>
    <w:rPr>
      <w:rFonts w:ascii="Times New Roman" w:eastAsia="Times New Roman" w:hAnsi="Times New Roman"/>
      <w:b/>
      <w:sz w:val="18"/>
      <w:lang w:val="es-ES_tradnl" w:eastAsia="es-ES"/>
    </w:rPr>
  </w:style>
  <w:style w:type="paragraph" w:styleId="Textosinformato">
    <w:name w:val="Plain Text"/>
    <w:basedOn w:val="Normal"/>
    <w:link w:val="TextosinformatoCar"/>
    <w:rsid w:val="009636B4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9636B4"/>
    <w:rPr>
      <w:rFonts w:ascii="Courier New" w:eastAsia="Times New Roman" w:hAnsi="Courier New" w:cs="Courier New"/>
      <w:lang w:val="es-ES" w:eastAsia="es-ES"/>
    </w:rPr>
  </w:style>
  <w:style w:type="paragraph" w:customStyle="1" w:styleId="Titulo1">
    <w:name w:val="Titulo 1"/>
    <w:basedOn w:val="Texto"/>
    <w:rsid w:val="009636B4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25238E-71D5-40D5-9C19-E0377F220D88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610427-D6FF-4679-9C5E-1E62DDEE3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1308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Mariana Rodriguez Reza</dc:creator>
  <cp:keywords/>
  <dc:description/>
  <cp:lastModifiedBy>Sandra Mariana Rodriguez Reza</cp:lastModifiedBy>
  <cp:revision>8</cp:revision>
  <cp:lastPrinted>2022-06-09T00:29:00Z</cp:lastPrinted>
  <dcterms:created xsi:type="dcterms:W3CDTF">2022-06-27T18:21:00Z</dcterms:created>
  <dcterms:modified xsi:type="dcterms:W3CDTF">2022-06-27T18:27:00Z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